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44C2D" w14:textId="77777777" w:rsidR="004B0908" w:rsidRDefault="00536836" w:rsidP="004B0908">
      <w:pPr>
        <w:shd w:val="clear" w:color="auto" w:fill="D9D9D9" w:themeFill="background1" w:themeFillShade="D9"/>
        <w:spacing w:after="120"/>
        <w:jc w:val="center"/>
        <w:rPr>
          <w:b/>
          <w:bCs/>
        </w:rPr>
      </w:pPr>
      <w:r w:rsidRPr="004B0908">
        <w:rPr>
          <w:b/>
          <w:bCs/>
        </w:rPr>
        <w:t xml:space="preserve">Technické podmínky k veřejné zakázce </w:t>
      </w:r>
    </w:p>
    <w:p w14:paraId="2B61FD28" w14:textId="594FC423" w:rsidR="00A42A0B" w:rsidRPr="004B0908" w:rsidRDefault="00536836" w:rsidP="004B0908">
      <w:pPr>
        <w:shd w:val="clear" w:color="auto" w:fill="D9D9D9" w:themeFill="background1" w:themeFillShade="D9"/>
        <w:spacing w:after="120"/>
        <w:jc w:val="center"/>
        <w:rPr>
          <w:b/>
          <w:bCs/>
        </w:rPr>
      </w:pPr>
      <w:r w:rsidRPr="004B0908">
        <w:rPr>
          <w:b/>
          <w:bCs/>
        </w:rPr>
        <w:t>na uzavření Rámcové dohody s názvem</w:t>
      </w:r>
      <w:r w:rsidR="00A42A0B" w:rsidRPr="004B0908">
        <w:rPr>
          <w:b/>
          <w:bCs/>
        </w:rPr>
        <w:t>:</w:t>
      </w:r>
    </w:p>
    <w:p w14:paraId="124D118D" w14:textId="5AF25C3F" w:rsidR="00295985" w:rsidRPr="00295985" w:rsidRDefault="00295985" w:rsidP="004B0908">
      <w:pPr>
        <w:shd w:val="clear" w:color="auto" w:fill="D9D9D9" w:themeFill="background1" w:themeFillShade="D9"/>
        <w:spacing w:after="120"/>
        <w:jc w:val="center"/>
        <w:rPr>
          <w:b/>
          <w:bCs/>
        </w:rPr>
      </w:pPr>
      <w:r>
        <w:rPr>
          <w:b/>
          <w:bCs/>
        </w:rPr>
        <w:t>„</w:t>
      </w:r>
      <w:r w:rsidRPr="00295985">
        <w:rPr>
          <w:b/>
          <w:bCs/>
        </w:rPr>
        <w:t>Pravidelná údržba, opravy a prohlídky SHV/MVTV u OŘ OVA 2026-2027</w:t>
      </w:r>
      <w:r>
        <w:rPr>
          <w:b/>
          <w:bCs/>
        </w:rPr>
        <w:t>“</w:t>
      </w:r>
    </w:p>
    <w:p w14:paraId="240639C0" w14:textId="77777777" w:rsidR="00536836" w:rsidRDefault="00536836" w:rsidP="00536836">
      <w:pPr>
        <w:pStyle w:val="Textbezodsazen"/>
        <w:spacing w:after="240" w:line="276" w:lineRule="auto"/>
        <w:rPr>
          <w:rFonts w:ascii="Verdana" w:eastAsia="Times New Roman" w:hAnsi="Verdana"/>
          <w:lang w:eastAsia="cs-CZ"/>
        </w:rPr>
      </w:pPr>
    </w:p>
    <w:p w14:paraId="5B6B3694" w14:textId="0EE8AFA1" w:rsidR="00536836" w:rsidRPr="00536836" w:rsidRDefault="00536836" w:rsidP="00536836">
      <w:pPr>
        <w:pStyle w:val="Textbezodsazen"/>
        <w:numPr>
          <w:ilvl w:val="0"/>
          <w:numId w:val="2"/>
        </w:numPr>
        <w:spacing w:after="240" w:line="276" w:lineRule="auto"/>
        <w:rPr>
          <w:rStyle w:val="FontStyle37"/>
          <w:rFonts w:ascii="Verdana" w:hAnsi="Verdana"/>
        </w:rPr>
      </w:pPr>
      <w:r w:rsidRPr="00536836">
        <w:rPr>
          <w:rFonts w:ascii="Verdana" w:eastAsia="Times New Roman" w:hAnsi="Verdana"/>
          <w:lang w:eastAsia="cs-CZ"/>
        </w:rPr>
        <w:t>Předmětem dílčích veřejných zakázek je provedení pravidelné údržby</w:t>
      </w:r>
      <w:r w:rsidR="0083576A">
        <w:rPr>
          <w:rFonts w:ascii="Verdana" w:eastAsia="Times New Roman" w:hAnsi="Verdana"/>
          <w:lang w:eastAsia="cs-CZ"/>
        </w:rPr>
        <w:t>,</w:t>
      </w:r>
      <w:r w:rsidRPr="00536836">
        <w:rPr>
          <w:rFonts w:ascii="Verdana" w:eastAsia="Times New Roman" w:hAnsi="Verdana"/>
          <w:lang w:eastAsia="cs-CZ"/>
        </w:rPr>
        <w:t xml:space="preserve"> opravy</w:t>
      </w:r>
      <w:r w:rsidR="0083576A">
        <w:rPr>
          <w:rFonts w:ascii="Verdana" w:eastAsia="Times New Roman" w:hAnsi="Verdana"/>
          <w:lang w:eastAsia="cs-CZ"/>
        </w:rPr>
        <w:t xml:space="preserve"> a prohlídky</w:t>
      </w:r>
      <w:r w:rsidRPr="00536836">
        <w:rPr>
          <w:rFonts w:ascii="Verdana" w:eastAsia="Times New Roman" w:hAnsi="Verdana"/>
          <w:lang w:eastAsia="cs-CZ"/>
        </w:rPr>
        <w:t xml:space="preserve"> speciálních hnacích vozidel MVTV2, MVTV2.2 a MVTV2.3 (dále jen „MVTV“), tj. provedení periodických prohlídek a technických kontrol daných výrobcem MVTV a dle předpisu Objednatele SŽ V1 – Provoz, údržba a opravy drážních vozidel (č.j. předpisu 52145/2024-SŽ-GŘ-O15) pro účely zajištění jejich </w:t>
      </w:r>
      <w:r w:rsidR="0083576A">
        <w:rPr>
          <w:rFonts w:ascii="Verdana" w:eastAsia="Times New Roman" w:hAnsi="Verdana"/>
          <w:lang w:eastAsia="cs-CZ"/>
        </w:rPr>
        <w:t xml:space="preserve">řádné a bezpečné </w:t>
      </w:r>
      <w:r w:rsidRPr="00536836">
        <w:rPr>
          <w:rFonts w:ascii="Verdana" w:eastAsia="Times New Roman" w:hAnsi="Verdana"/>
          <w:lang w:eastAsia="cs-CZ"/>
        </w:rPr>
        <w:t>provozuschopnosti v rámci Oblastního ředitelství Ostrava</w:t>
      </w:r>
      <w:r w:rsidRPr="00536836">
        <w:rPr>
          <w:rStyle w:val="FontStyle37"/>
          <w:rFonts w:ascii="Verdana" w:hAnsi="Verdana"/>
        </w:rPr>
        <w:t xml:space="preserve">. </w:t>
      </w:r>
    </w:p>
    <w:p w14:paraId="790CE2C5" w14:textId="5AF068D0" w:rsidR="00536836" w:rsidRPr="00536836" w:rsidRDefault="00536836" w:rsidP="00536836">
      <w:pPr>
        <w:pStyle w:val="Textbezodsazen"/>
        <w:spacing w:after="240" w:line="276" w:lineRule="auto"/>
        <w:ind w:left="708"/>
        <w:rPr>
          <w:rFonts w:ascii="Verdana" w:eastAsia="Times New Roman" w:hAnsi="Verdana"/>
          <w:lang w:eastAsia="cs-CZ"/>
        </w:rPr>
      </w:pPr>
      <w:r w:rsidRPr="00536836">
        <w:rPr>
          <w:rFonts w:ascii="Verdana" w:eastAsia="Times New Roman" w:hAnsi="Verdana"/>
          <w:lang w:eastAsia="cs-CZ"/>
        </w:rPr>
        <w:t xml:space="preserve">Týká se následujících MVTV včetně orientačního měsíčního harmonogramu, nebo dle kilometrického proběhu MVTV. Harmonogram je pouze orientační, přistavení MVTV je odvislé od provozních potřeb zadavatele a reálných časových relací, které vychází z dílčích smluv (objednávek). </w:t>
      </w:r>
    </w:p>
    <w:tbl>
      <w:tblPr>
        <w:tblStyle w:val="Mkatabulky"/>
        <w:tblW w:w="8363" w:type="dxa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792"/>
        <w:gridCol w:w="5571"/>
      </w:tblGrid>
      <w:tr w:rsidR="00A43C4A" w:rsidRPr="00536836" w14:paraId="68C25C98" w14:textId="2B899180" w:rsidTr="00536836">
        <w:trPr>
          <w:trHeight w:val="284"/>
        </w:trPr>
        <w:tc>
          <w:tcPr>
            <w:tcW w:w="2792" w:type="dxa"/>
          </w:tcPr>
          <w:p w14:paraId="73DA9F19" w14:textId="71B5CAA7" w:rsidR="00A43C4A" w:rsidRPr="00536836" w:rsidRDefault="00A43C4A" w:rsidP="00295985">
            <w:pPr>
              <w:ind w:left="-8"/>
              <w:jc w:val="center"/>
              <w:rPr>
                <w:sz w:val="18"/>
                <w:szCs w:val="18"/>
                <w:highlight w:val="lightGray"/>
              </w:rPr>
            </w:pPr>
            <w:r w:rsidRPr="00536836">
              <w:rPr>
                <w:sz w:val="18"/>
                <w:szCs w:val="18"/>
                <w:highlight w:val="lightGray"/>
              </w:rPr>
              <w:t>Měsíc</w:t>
            </w:r>
            <w:r w:rsidR="00536836">
              <w:rPr>
                <w:sz w:val="18"/>
                <w:szCs w:val="18"/>
                <w:highlight w:val="lightGray"/>
              </w:rPr>
              <w:t xml:space="preserve"> (předpoklad)</w:t>
            </w:r>
          </w:p>
        </w:tc>
        <w:tc>
          <w:tcPr>
            <w:tcW w:w="5571" w:type="dxa"/>
          </w:tcPr>
          <w:p w14:paraId="25166F8E" w14:textId="383D7591" w:rsidR="00A43C4A" w:rsidRPr="00536836" w:rsidRDefault="00536836" w:rsidP="0022691B">
            <w:pPr>
              <w:jc w:val="center"/>
              <w:rPr>
                <w:sz w:val="18"/>
                <w:szCs w:val="18"/>
                <w:highlight w:val="lightGray"/>
              </w:rPr>
            </w:pPr>
            <w:r w:rsidRPr="00536836">
              <w:rPr>
                <w:sz w:val="18"/>
                <w:szCs w:val="18"/>
                <w:highlight w:val="lightGray"/>
              </w:rPr>
              <w:t>Řada a označení MVTV</w:t>
            </w:r>
          </w:p>
        </w:tc>
      </w:tr>
      <w:tr w:rsidR="00A43C4A" w:rsidRPr="00536836" w14:paraId="25656172" w14:textId="77777777" w:rsidTr="00536836">
        <w:trPr>
          <w:trHeight w:val="284"/>
        </w:trPr>
        <w:tc>
          <w:tcPr>
            <w:tcW w:w="2792" w:type="dxa"/>
          </w:tcPr>
          <w:p w14:paraId="2B819F6C" w14:textId="2E397021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Leden</w:t>
            </w:r>
          </w:p>
        </w:tc>
        <w:tc>
          <w:tcPr>
            <w:tcW w:w="5571" w:type="dxa"/>
          </w:tcPr>
          <w:p w14:paraId="26CDC209" w14:textId="3AB753D3" w:rsidR="00A43C4A" w:rsidRPr="00536836" w:rsidRDefault="00536836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x</w:t>
            </w:r>
          </w:p>
        </w:tc>
      </w:tr>
      <w:tr w:rsidR="00A43C4A" w:rsidRPr="00536836" w14:paraId="45FA0940" w14:textId="2159462E" w:rsidTr="00536836">
        <w:trPr>
          <w:trHeight w:val="284"/>
        </w:trPr>
        <w:tc>
          <w:tcPr>
            <w:tcW w:w="2792" w:type="dxa"/>
          </w:tcPr>
          <w:p w14:paraId="03673466" w14:textId="771CB6B2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Únor</w:t>
            </w:r>
          </w:p>
        </w:tc>
        <w:tc>
          <w:tcPr>
            <w:tcW w:w="5571" w:type="dxa"/>
          </w:tcPr>
          <w:p w14:paraId="2951E63A" w14:textId="7F3A30C4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MVTV2-007, MVTV2-026, MVTV 2–106, MVTV 2-100</w:t>
            </w:r>
          </w:p>
        </w:tc>
      </w:tr>
      <w:tr w:rsidR="00A43C4A" w:rsidRPr="00536836" w14:paraId="5A4345C5" w14:textId="30173C9B" w:rsidTr="00536836">
        <w:trPr>
          <w:trHeight w:val="284"/>
        </w:trPr>
        <w:tc>
          <w:tcPr>
            <w:tcW w:w="2792" w:type="dxa"/>
          </w:tcPr>
          <w:p w14:paraId="2441AF59" w14:textId="6B675B0B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Březen</w:t>
            </w:r>
          </w:p>
        </w:tc>
        <w:tc>
          <w:tcPr>
            <w:tcW w:w="5571" w:type="dxa"/>
          </w:tcPr>
          <w:p w14:paraId="06F0ADAC" w14:textId="25B889B6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MVTV2-062, MVTV2-009</w:t>
            </w:r>
          </w:p>
        </w:tc>
      </w:tr>
      <w:tr w:rsidR="00A43C4A" w:rsidRPr="00536836" w14:paraId="5698E6B8" w14:textId="7C180CDC" w:rsidTr="00536836">
        <w:trPr>
          <w:trHeight w:val="284"/>
        </w:trPr>
        <w:tc>
          <w:tcPr>
            <w:tcW w:w="2792" w:type="dxa"/>
          </w:tcPr>
          <w:p w14:paraId="61D88FCC" w14:textId="7EDFD124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Duben</w:t>
            </w:r>
          </w:p>
        </w:tc>
        <w:tc>
          <w:tcPr>
            <w:tcW w:w="5571" w:type="dxa"/>
          </w:tcPr>
          <w:p w14:paraId="4C118144" w14:textId="581733F8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MVTV2.3-004, MVTV2-010</w:t>
            </w:r>
          </w:p>
        </w:tc>
      </w:tr>
      <w:tr w:rsidR="00A43C4A" w:rsidRPr="00536836" w14:paraId="3357E716" w14:textId="6DA90B88" w:rsidTr="00536836">
        <w:trPr>
          <w:trHeight w:val="284"/>
        </w:trPr>
        <w:tc>
          <w:tcPr>
            <w:tcW w:w="2792" w:type="dxa"/>
          </w:tcPr>
          <w:p w14:paraId="42D7F297" w14:textId="54FF4797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Květen</w:t>
            </w:r>
          </w:p>
        </w:tc>
        <w:tc>
          <w:tcPr>
            <w:tcW w:w="5571" w:type="dxa"/>
          </w:tcPr>
          <w:p w14:paraId="71826B36" w14:textId="05AD015F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MVTV2.2-001</w:t>
            </w:r>
          </w:p>
        </w:tc>
      </w:tr>
      <w:tr w:rsidR="00A43C4A" w:rsidRPr="00536836" w14:paraId="107BBD04" w14:textId="01DA2805" w:rsidTr="00536836">
        <w:trPr>
          <w:trHeight w:val="284"/>
        </w:trPr>
        <w:tc>
          <w:tcPr>
            <w:tcW w:w="2792" w:type="dxa"/>
          </w:tcPr>
          <w:p w14:paraId="4E490332" w14:textId="3B751288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Červen</w:t>
            </w:r>
          </w:p>
        </w:tc>
        <w:tc>
          <w:tcPr>
            <w:tcW w:w="5571" w:type="dxa"/>
          </w:tcPr>
          <w:p w14:paraId="620C6496" w14:textId="2C09F897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MVTV2.3-006, MVTV2.2-002</w:t>
            </w:r>
          </w:p>
        </w:tc>
      </w:tr>
      <w:tr w:rsidR="00A43C4A" w:rsidRPr="00536836" w14:paraId="0C6F654D" w14:textId="4762FA80" w:rsidTr="00536836">
        <w:trPr>
          <w:trHeight w:val="284"/>
        </w:trPr>
        <w:tc>
          <w:tcPr>
            <w:tcW w:w="2792" w:type="dxa"/>
          </w:tcPr>
          <w:p w14:paraId="760EF2DB" w14:textId="2D5DDFD3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Červenec</w:t>
            </w:r>
          </w:p>
        </w:tc>
        <w:tc>
          <w:tcPr>
            <w:tcW w:w="5571" w:type="dxa"/>
          </w:tcPr>
          <w:p w14:paraId="3687A270" w14:textId="1CA2292C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MVTV2-009, MVTV2-062</w:t>
            </w:r>
          </w:p>
        </w:tc>
      </w:tr>
      <w:tr w:rsidR="00A43C4A" w:rsidRPr="00536836" w14:paraId="26800362" w14:textId="5E17F78D" w:rsidTr="00536836">
        <w:trPr>
          <w:trHeight w:val="284"/>
        </w:trPr>
        <w:tc>
          <w:tcPr>
            <w:tcW w:w="2792" w:type="dxa"/>
          </w:tcPr>
          <w:p w14:paraId="288E00CF" w14:textId="6D49026E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Srpen</w:t>
            </w:r>
          </w:p>
        </w:tc>
        <w:tc>
          <w:tcPr>
            <w:tcW w:w="5571" w:type="dxa"/>
          </w:tcPr>
          <w:p w14:paraId="6AC1C3C3" w14:textId="163107C3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MVTV2-025</w:t>
            </w:r>
          </w:p>
        </w:tc>
      </w:tr>
      <w:tr w:rsidR="00A43C4A" w:rsidRPr="00536836" w14:paraId="32E6318C" w14:textId="5C7F195D" w:rsidTr="00536836">
        <w:trPr>
          <w:trHeight w:val="284"/>
        </w:trPr>
        <w:tc>
          <w:tcPr>
            <w:tcW w:w="2792" w:type="dxa"/>
          </w:tcPr>
          <w:p w14:paraId="180E7D87" w14:textId="1288E88C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Září</w:t>
            </w:r>
          </w:p>
        </w:tc>
        <w:tc>
          <w:tcPr>
            <w:tcW w:w="5571" w:type="dxa"/>
          </w:tcPr>
          <w:p w14:paraId="7EF25CFC" w14:textId="0D765FC3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MVTV2-028</w:t>
            </w:r>
          </w:p>
        </w:tc>
      </w:tr>
      <w:tr w:rsidR="00A43C4A" w:rsidRPr="00536836" w14:paraId="42A8191B" w14:textId="0B2BE3D5" w:rsidTr="00536836">
        <w:trPr>
          <w:trHeight w:val="284"/>
        </w:trPr>
        <w:tc>
          <w:tcPr>
            <w:tcW w:w="2792" w:type="dxa"/>
          </w:tcPr>
          <w:p w14:paraId="4407A765" w14:textId="596A665F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Říjen</w:t>
            </w:r>
          </w:p>
        </w:tc>
        <w:tc>
          <w:tcPr>
            <w:tcW w:w="5571" w:type="dxa"/>
          </w:tcPr>
          <w:p w14:paraId="74AD97DE" w14:textId="2FB56AA1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MVTV2.2-006</w:t>
            </w:r>
          </w:p>
        </w:tc>
      </w:tr>
      <w:tr w:rsidR="00A43C4A" w:rsidRPr="00536836" w14:paraId="3A786280" w14:textId="251C6AA0" w:rsidTr="00536836">
        <w:trPr>
          <w:trHeight w:val="284"/>
        </w:trPr>
        <w:tc>
          <w:tcPr>
            <w:tcW w:w="2792" w:type="dxa"/>
          </w:tcPr>
          <w:p w14:paraId="45D80B95" w14:textId="5FD56769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Listopad</w:t>
            </w:r>
          </w:p>
        </w:tc>
        <w:tc>
          <w:tcPr>
            <w:tcW w:w="5571" w:type="dxa"/>
          </w:tcPr>
          <w:p w14:paraId="0C4126C1" w14:textId="543AE795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MVTV2-061</w:t>
            </w:r>
          </w:p>
        </w:tc>
      </w:tr>
      <w:tr w:rsidR="00A43C4A" w:rsidRPr="00536836" w14:paraId="0F7BF98B" w14:textId="20D7C907" w:rsidTr="00536836">
        <w:trPr>
          <w:trHeight w:val="284"/>
        </w:trPr>
        <w:tc>
          <w:tcPr>
            <w:tcW w:w="2792" w:type="dxa"/>
          </w:tcPr>
          <w:p w14:paraId="37679EAB" w14:textId="60E4212A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Prosinec</w:t>
            </w:r>
          </w:p>
        </w:tc>
        <w:tc>
          <w:tcPr>
            <w:tcW w:w="5571" w:type="dxa"/>
          </w:tcPr>
          <w:p w14:paraId="1D3EDB9E" w14:textId="79AD3C5D" w:rsidR="00A43C4A" w:rsidRPr="00536836" w:rsidRDefault="00A43C4A" w:rsidP="00A43C4A">
            <w:pPr>
              <w:jc w:val="center"/>
              <w:rPr>
                <w:sz w:val="18"/>
                <w:szCs w:val="18"/>
              </w:rPr>
            </w:pPr>
            <w:r w:rsidRPr="00536836">
              <w:rPr>
                <w:sz w:val="18"/>
                <w:szCs w:val="18"/>
              </w:rPr>
              <w:t>MVTV2-025</w:t>
            </w:r>
          </w:p>
        </w:tc>
      </w:tr>
    </w:tbl>
    <w:p w14:paraId="4CE433E7" w14:textId="77777777" w:rsidR="0022691B" w:rsidRDefault="0022691B" w:rsidP="00A42A0B"/>
    <w:p w14:paraId="001650A9" w14:textId="57C9C83B" w:rsidR="004B0908" w:rsidRPr="004B0908" w:rsidRDefault="00DA49F4" w:rsidP="004B0908">
      <w:pPr>
        <w:pStyle w:val="Textbezodsazen"/>
        <w:spacing w:after="240" w:line="276" w:lineRule="auto"/>
        <w:ind w:left="720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R</w:t>
      </w:r>
      <w:r w:rsidR="004B0908" w:rsidRPr="004B0908">
        <w:rPr>
          <w:rFonts w:ascii="Verdana" w:eastAsia="Times New Roman" w:hAnsi="Verdana"/>
          <w:lang w:eastAsia="cs-CZ"/>
        </w:rPr>
        <w:t>ozsah prohlídky</w:t>
      </w:r>
      <w:r>
        <w:rPr>
          <w:rFonts w:ascii="Verdana" w:eastAsia="Times New Roman" w:hAnsi="Verdana"/>
          <w:lang w:eastAsia="cs-CZ"/>
        </w:rPr>
        <w:t xml:space="preserve"> P2 a SMx</w:t>
      </w:r>
      <w:r w:rsidR="004B0908" w:rsidRPr="004B0908">
        <w:rPr>
          <w:rFonts w:ascii="Verdana" w:eastAsia="Times New Roman" w:hAnsi="Verdana"/>
          <w:lang w:eastAsia="cs-CZ"/>
        </w:rPr>
        <w:t xml:space="preserve"> jednotlivých typů MVTV je dán Dílem 2_2 Zadávací dokumentace, část A-E.</w:t>
      </w:r>
    </w:p>
    <w:p w14:paraId="7650CE8E" w14:textId="658EBA38" w:rsidR="0022691B" w:rsidRDefault="00536836" w:rsidP="00536836">
      <w:pPr>
        <w:pStyle w:val="Textbezodsazen"/>
        <w:numPr>
          <w:ilvl w:val="0"/>
          <w:numId w:val="2"/>
        </w:numPr>
        <w:spacing w:after="240" w:line="276" w:lineRule="auto"/>
        <w:rPr>
          <w:rFonts w:ascii="Verdana" w:hAnsi="Verdana"/>
        </w:rPr>
      </w:pPr>
      <w:r w:rsidRPr="00536836">
        <w:rPr>
          <w:rFonts w:ascii="Verdana" w:eastAsia="Times New Roman" w:hAnsi="Verdana"/>
          <w:lang w:eastAsia="cs-CZ"/>
        </w:rPr>
        <w:t xml:space="preserve">Předmětem dílčích veřejných zakázek je současně provedení neplánovaných oprav a </w:t>
      </w:r>
      <w:r w:rsidR="00621200" w:rsidRPr="00536836">
        <w:rPr>
          <w:rFonts w:ascii="Verdana" w:hAnsi="Verdana"/>
          <w:bCs/>
        </w:rPr>
        <w:t>odstranění mimořádných poruch</w:t>
      </w:r>
      <w:r w:rsidRPr="00536836">
        <w:rPr>
          <w:rFonts w:ascii="Verdana" w:hAnsi="Verdana"/>
          <w:bCs/>
        </w:rPr>
        <w:t xml:space="preserve">, které budou prováděny </w:t>
      </w:r>
      <w:r w:rsidR="00A42A0B" w:rsidRPr="00536836">
        <w:rPr>
          <w:rFonts w:ascii="Verdana" w:hAnsi="Verdana"/>
        </w:rPr>
        <w:t>operativn</w:t>
      </w:r>
      <w:r w:rsidRPr="00536836">
        <w:rPr>
          <w:rFonts w:ascii="Verdana" w:hAnsi="Verdana"/>
        </w:rPr>
        <w:t>ě</w:t>
      </w:r>
      <w:r w:rsidR="00A42A0B" w:rsidRPr="00536836">
        <w:rPr>
          <w:rFonts w:ascii="Verdana" w:hAnsi="Verdana"/>
        </w:rPr>
        <w:t xml:space="preserve"> na základě zjištěných závad</w:t>
      </w:r>
      <w:r w:rsidRPr="00536836">
        <w:rPr>
          <w:rFonts w:ascii="Verdana" w:hAnsi="Verdana"/>
        </w:rPr>
        <w:t xml:space="preserve"> a v souladu s věcným i časovým rozsahem dle dílčích smluv</w:t>
      </w:r>
      <w:r w:rsidR="00A42A0B" w:rsidRPr="00536836">
        <w:rPr>
          <w:rFonts w:ascii="Verdana" w:hAnsi="Verdana"/>
        </w:rPr>
        <w:t xml:space="preserve">. </w:t>
      </w:r>
      <w:r w:rsidRPr="00536836">
        <w:rPr>
          <w:rFonts w:ascii="Verdana" w:hAnsi="Verdana"/>
        </w:rPr>
        <w:t xml:space="preserve">Časové relace neplánovaných oprav a odstranění mimořádných poruch včetně </w:t>
      </w:r>
      <w:r w:rsidR="00A42A0B" w:rsidRPr="00536836">
        <w:rPr>
          <w:rFonts w:ascii="Verdana" w:hAnsi="Verdana"/>
        </w:rPr>
        <w:t>termín</w:t>
      </w:r>
      <w:r>
        <w:rPr>
          <w:rFonts w:ascii="Verdana" w:hAnsi="Verdana"/>
        </w:rPr>
        <w:t>u</w:t>
      </w:r>
      <w:r w:rsidR="00A42A0B" w:rsidRPr="00536836">
        <w:rPr>
          <w:rFonts w:ascii="Verdana" w:hAnsi="Verdana"/>
        </w:rPr>
        <w:t xml:space="preserve"> přistavení</w:t>
      </w:r>
      <w:r>
        <w:rPr>
          <w:rFonts w:ascii="Verdana" w:hAnsi="Verdana"/>
        </w:rPr>
        <w:t xml:space="preserve"> MVTV</w:t>
      </w:r>
      <w:r w:rsidRPr="00536836">
        <w:rPr>
          <w:rFonts w:ascii="Verdana" w:hAnsi="Verdana"/>
        </w:rPr>
        <w:t xml:space="preserve"> (v případech, kd</w:t>
      </w:r>
      <w:r>
        <w:rPr>
          <w:rFonts w:ascii="Verdana" w:hAnsi="Verdana"/>
        </w:rPr>
        <w:t>y</w:t>
      </w:r>
      <w:r w:rsidRPr="00536836">
        <w:rPr>
          <w:rFonts w:ascii="Verdana" w:hAnsi="Verdana"/>
        </w:rPr>
        <w:t xml:space="preserve"> oprava bude probíhat v provozovně Zhotovitele), </w:t>
      </w:r>
      <w:r w:rsidR="00A42A0B" w:rsidRPr="00536836">
        <w:rPr>
          <w:rFonts w:ascii="Verdana" w:hAnsi="Verdana"/>
        </w:rPr>
        <w:t>bud</w:t>
      </w:r>
      <w:r>
        <w:rPr>
          <w:rFonts w:ascii="Verdana" w:hAnsi="Verdana"/>
        </w:rPr>
        <w:t>ou</w:t>
      </w:r>
      <w:r w:rsidR="00A42A0B" w:rsidRPr="00536836">
        <w:rPr>
          <w:rFonts w:ascii="Verdana" w:hAnsi="Verdana"/>
        </w:rPr>
        <w:t xml:space="preserve"> dohodnut</w:t>
      </w:r>
      <w:r>
        <w:rPr>
          <w:rFonts w:ascii="Verdana" w:hAnsi="Verdana"/>
        </w:rPr>
        <w:t>y</w:t>
      </w:r>
      <w:r w:rsidR="00A42A0B" w:rsidRPr="00536836">
        <w:rPr>
          <w:rFonts w:ascii="Verdana" w:hAnsi="Verdana"/>
        </w:rPr>
        <w:t xml:space="preserve"> s ohledem na provozní požadavky </w:t>
      </w:r>
      <w:r w:rsidRPr="00536836">
        <w:rPr>
          <w:rFonts w:ascii="Verdana" w:hAnsi="Verdana"/>
        </w:rPr>
        <w:t xml:space="preserve">Objednatele </w:t>
      </w:r>
      <w:r w:rsidR="00A42A0B" w:rsidRPr="00536836">
        <w:rPr>
          <w:rFonts w:ascii="Verdana" w:hAnsi="Verdana"/>
        </w:rPr>
        <w:t xml:space="preserve">a kapacitní možnosti </w:t>
      </w:r>
      <w:r w:rsidRPr="00536836">
        <w:rPr>
          <w:rFonts w:ascii="Verdana" w:hAnsi="Verdana"/>
        </w:rPr>
        <w:t>Zhotovitele</w:t>
      </w:r>
      <w:r w:rsidR="00A42A0B" w:rsidRPr="00536836">
        <w:rPr>
          <w:rFonts w:ascii="Verdana" w:hAnsi="Verdana"/>
        </w:rPr>
        <w:t xml:space="preserve">. </w:t>
      </w:r>
      <w:r w:rsidR="00392C3D">
        <w:rPr>
          <w:rFonts w:ascii="Verdana" w:hAnsi="Verdana"/>
        </w:rPr>
        <w:t>Součástí oprav může být současně i dodávka materiálu nutného k provedení opravy</w:t>
      </w:r>
      <w:r w:rsidR="00EE2C9B">
        <w:rPr>
          <w:rFonts w:ascii="Verdana" w:hAnsi="Verdana"/>
        </w:rPr>
        <w:t>/výměny</w:t>
      </w:r>
      <w:r w:rsidR="00392C3D">
        <w:rPr>
          <w:rFonts w:ascii="Verdana" w:hAnsi="Verdana"/>
        </w:rPr>
        <w:t xml:space="preserve"> (jeho rozsah je dán přílohou č. 3 této Rámcové dohody, položka č. 27-147; v takovém případě bude v rámci dílčí smlouvy objednána nejen materiálová položka, ale současně i práce dle jednotkové ceny uvedené v položce č. 14 nebo 15). </w:t>
      </w:r>
    </w:p>
    <w:p w14:paraId="38300FD7" w14:textId="2A56CB50" w:rsidR="0083576A" w:rsidRPr="00536836" w:rsidRDefault="0083576A" w:rsidP="00536836">
      <w:pPr>
        <w:pStyle w:val="Textbezodsazen"/>
        <w:numPr>
          <w:ilvl w:val="0"/>
          <w:numId w:val="2"/>
        </w:numPr>
        <w:spacing w:after="240" w:line="276" w:lineRule="auto"/>
        <w:rPr>
          <w:rFonts w:ascii="Verdana" w:hAnsi="Verdana"/>
        </w:rPr>
      </w:pPr>
      <w:r w:rsidRPr="00125654">
        <w:rPr>
          <w:rFonts w:ascii="Verdana" w:eastAsia="Times New Roman" w:hAnsi="Verdana" w:cs="Times New Roman"/>
          <w:color w:val="000000"/>
          <w:lang w:eastAsia="cs-CZ"/>
        </w:rPr>
        <w:t>Detailněji</w:t>
      </w:r>
      <w:r>
        <w:rPr>
          <w:rFonts w:ascii="Verdana" w:eastAsia="Times New Roman" w:hAnsi="Verdana" w:cs="Times New Roman"/>
          <w:color w:val="000000"/>
          <w:lang w:eastAsia="cs-CZ"/>
        </w:rPr>
        <w:t xml:space="preserve"> z hlediska věcného rozsahu </w:t>
      </w:r>
      <w:r w:rsidRPr="00125654">
        <w:rPr>
          <w:rFonts w:ascii="Verdana" w:eastAsia="Times New Roman" w:hAnsi="Verdana" w:cs="Times New Roman"/>
          <w:color w:val="000000"/>
          <w:lang w:eastAsia="cs-CZ"/>
        </w:rPr>
        <w:t xml:space="preserve">je předmět plnění </w:t>
      </w:r>
      <w:r w:rsidRPr="00125654">
        <w:rPr>
          <w:rFonts w:ascii="Verdana" w:eastAsia="Times New Roman" w:hAnsi="Verdana"/>
          <w:lang w:eastAsia="cs-CZ"/>
        </w:rPr>
        <w:t>specifikován v příloze č. 3 této Rámcové dohody s názvem Jednotkový ceník činností.</w:t>
      </w:r>
    </w:p>
    <w:p w14:paraId="4AC5162B" w14:textId="77777777" w:rsidR="0022691B" w:rsidRDefault="0022691B" w:rsidP="00295985">
      <w:pPr>
        <w:pStyle w:val="Odstavecseseznamem"/>
        <w:jc w:val="both"/>
      </w:pPr>
    </w:p>
    <w:sectPr w:rsidR="00226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483FE" w14:textId="77777777" w:rsidR="006735E9" w:rsidRDefault="006735E9" w:rsidP="00604525">
      <w:pPr>
        <w:spacing w:after="0" w:line="240" w:lineRule="auto"/>
      </w:pPr>
      <w:r>
        <w:separator/>
      </w:r>
    </w:p>
  </w:endnote>
  <w:endnote w:type="continuationSeparator" w:id="0">
    <w:p w14:paraId="6671E5FC" w14:textId="77777777" w:rsidR="006735E9" w:rsidRDefault="006735E9" w:rsidP="0060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D1673" w14:textId="77777777" w:rsidR="006735E9" w:rsidRDefault="006735E9" w:rsidP="00604525">
      <w:pPr>
        <w:spacing w:after="0" w:line="240" w:lineRule="auto"/>
      </w:pPr>
      <w:r>
        <w:separator/>
      </w:r>
    </w:p>
  </w:footnote>
  <w:footnote w:type="continuationSeparator" w:id="0">
    <w:p w14:paraId="1ED097D9" w14:textId="77777777" w:rsidR="006735E9" w:rsidRDefault="006735E9" w:rsidP="00604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B1121" w14:textId="77777777" w:rsidR="00536836" w:rsidRDefault="00536836" w:rsidP="00536836">
    <w:pPr>
      <w:jc w:val="right"/>
      <w:rPr>
        <w:szCs w:val="20"/>
      </w:rPr>
    </w:pPr>
    <w:r>
      <w:rPr>
        <w:szCs w:val="20"/>
      </w:rPr>
      <w:t>Díl 2_2 Zadávací dokumentace/</w:t>
    </w:r>
  </w:p>
  <w:p w14:paraId="788D106D" w14:textId="58BE7DE6" w:rsidR="00536836" w:rsidRPr="00DF32DF" w:rsidRDefault="00536836" w:rsidP="00536836">
    <w:pPr>
      <w:jc w:val="right"/>
      <w:rPr>
        <w:szCs w:val="20"/>
      </w:rPr>
    </w:pPr>
    <w:r>
      <w:rPr>
        <w:b/>
        <w:bCs/>
        <w:szCs w:val="20"/>
      </w:rPr>
      <w:t xml:space="preserve">Úvodní </w:t>
    </w:r>
    <w:r w:rsidRPr="00FB1667">
      <w:rPr>
        <w:b/>
        <w:bCs/>
        <w:szCs w:val="20"/>
      </w:rPr>
      <w:t>část</w:t>
    </w:r>
  </w:p>
  <w:p w14:paraId="51A57767" w14:textId="23C19B1A" w:rsidR="00604525" w:rsidRDefault="006045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734D0"/>
    <w:multiLevelType w:val="hybridMultilevel"/>
    <w:tmpl w:val="9A6A614A"/>
    <w:lvl w:ilvl="0" w:tplc="CB74D52C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 w:val="0"/>
        <w:color w:val="auto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D6775"/>
    <w:multiLevelType w:val="hybridMultilevel"/>
    <w:tmpl w:val="AF9EC596"/>
    <w:lvl w:ilvl="0" w:tplc="BDF0206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119254">
    <w:abstractNumId w:val="1"/>
  </w:num>
  <w:num w:numId="2" w16cid:durableId="2091152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A0B"/>
    <w:rsid w:val="000B7CF5"/>
    <w:rsid w:val="00101C78"/>
    <w:rsid w:val="00127826"/>
    <w:rsid w:val="0022691B"/>
    <w:rsid w:val="00295985"/>
    <w:rsid w:val="00321EA3"/>
    <w:rsid w:val="003727EC"/>
    <w:rsid w:val="00392C3D"/>
    <w:rsid w:val="003B5255"/>
    <w:rsid w:val="004046CF"/>
    <w:rsid w:val="004B0908"/>
    <w:rsid w:val="00536836"/>
    <w:rsid w:val="00604525"/>
    <w:rsid w:val="00621200"/>
    <w:rsid w:val="006735E9"/>
    <w:rsid w:val="0083576A"/>
    <w:rsid w:val="008F6D12"/>
    <w:rsid w:val="009851DA"/>
    <w:rsid w:val="00A42A0B"/>
    <w:rsid w:val="00A43C4A"/>
    <w:rsid w:val="00B1330C"/>
    <w:rsid w:val="00B368BF"/>
    <w:rsid w:val="00BF6A6B"/>
    <w:rsid w:val="00C14E5B"/>
    <w:rsid w:val="00D90E8F"/>
    <w:rsid w:val="00DA49F4"/>
    <w:rsid w:val="00DE06D1"/>
    <w:rsid w:val="00EC7C16"/>
    <w:rsid w:val="00EE2C9B"/>
    <w:rsid w:val="00F13144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9F55"/>
  <w15:chartTrackingRefBased/>
  <w15:docId w15:val="{33D2AC0A-D296-4C9D-9D8A-21C9843E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42A0B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42A0B"/>
    <w:rPr>
      <w:b/>
      <w:bCs/>
      <w:smallCaps/>
      <w:color w:val="365F91" w:themeColor="accent1" w:themeShade="BF"/>
      <w:spacing w:val="5"/>
    </w:rPr>
  </w:style>
  <w:style w:type="table" w:styleId="Mkatabulky">
    <w:name w:val="Table Grid"/>
    <w:basedOn w:val="Normlntabulka"/>
    <w:uiPriority w:val="59"/>
    <w:rsid w:val="0022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04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525"/>
  </w:style>
  <w:style w:type="paragraph" w:styleId="Zpat">
    <w:name w:val="footer"/>
    <w:basedOn w:val="Normln"/>
    <w:link w:val="ZpatChar"/>
    <w:uiPriority w:val="99"/>
    <w:unhideWhenUsed/>
    <w:rsid w:val="00536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6836"/>
  </w:style>
  <w:style w:type="character" w:customStyle="1" w:styleId="FontStyle37">
    <w:name w:val="Font Style37"/>
    <w:uiPriority w:val="99"/>
    <w:rsid w:val="00536836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536836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536836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Navrátil Marek, Ing.</dc:creator>
  <cp:keywords/>
  <dc:description/>
  <cp:lastModifiedBy>OVZ</cp:lastModifiedBy>
  <cp:revision>12</cp:revision>
  <dcterms:created xsi:type="dcterms:W3CDTF">2025-12-15T10:48:00Z</dcterms:created>
  <dcterms:modified xsi:type="dcterms:W3CDTF">2026-02-03T12:43:00Z</dcterms:modified>
</cp:coreProperties>
</file>